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43" w:rsidRPr="00E74543" w:rsidRDefault="00E74543" w:rsidP="00E74543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43">
        <w:rPr>
          <w:rFonts w:ascii="Times New Roman" w:hAnsi="Times New Roman" w:cs="Times New Roman"/>
          <w:b/>
          <w:sz w:val="28"/>
          <w:szCs w:val="28"/>
        </w:rPr>
        <w:t>HƯỚNG DẪN BIỂU MẪU THỐNG KÊ VỀ GIÁM ĐỊNH TƯ PHÁP</w:t>
      </w:r>
    </w:p>
    <w:p w:rsidR="00E74543" w:rsidRPr="00E74543" w:rsidRDefault="00E74543" w:rsidP="00E74543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43">
        <w:rPr>
          <w:rFonts w:ascii="Times New Roman" w:hAnsi="Times New Roman" w:cs="Times New Roman"/>
          <w:b/>
          <w:sz w:val="28"/>
          <w:szCs w:val="28"/>
        </w:rPr>
        <w:t>TRONG TỐ TỤNG HÌNH SỰ</w:t>
      </w:r>
    </w:p>
    <w:p w:rsidR="00E74543" w:rsidRPr="00E74543" w:rsidRDefault="00E74543" w:rsidP="00E74543">
      <w:pPr>
        <w:spacing w:before="240"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: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: Theo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 =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4 +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5 +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6 +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7;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 =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8 +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9 +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454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can,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74543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74543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8, 9, 10: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11: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74543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E745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12: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tụ</w:t>
      </w:r>
      <w:r w:rsidR="006568D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65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D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>.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74543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E74543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ý.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74543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11. </w:t>
      </w:r>
    </w:p>
    <w:p w:rsidR="00E74543" w:rsidRPr="00E74543" w:rsidRDefault="00E74543" w:rsidP="00E74543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5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13: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208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4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74543">
        <w:rPr>
          <w:rFonts w:ascii="Times New Roman" w:hAnsi="Times New Roman" w:cs="Times New Roman"/>
          <w:sz w:val="28"/>
          <w:szCs w:val="28"/>
        </w:rPr>
        <w:t xml:space="preserve"> TTHS.</w:t>
      </w:r>
    </w:p>
    <w:sectPr w:rsidR="00E74543" w:rsidRPr="00E74543" w:rsidSect="00E74543">
      <w:pgSz w:w="12240" w:h="15840"/>
      <w:pgMar w:top="1247" w:right="1191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4543"/>
    <w:rsid w:val="003A6D90"/>
    <w:rsid w:val="006568D4"/>
    <w:rsid w:val="00E74543"/>
    <w:rsid w:val="00EE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VKSNDTC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TKHS-C2</dc:creator>
  <cp:keywords/>
  <dc:description/>
  <cp:lastModifiedBy>Microsoft</cp:lastModifiedBy>
  <cp:revision>4</cp:revision>
  <dcterms:created xsi:type="dcterms:W3CDTF">2020-12-14T03:11:00Z</dcterms:created>
  <dcterms:modified xsi:type="dcterms:W3CDTF">2020-12-14T08:41:00Z</dcterms:modified>
</cp:coreProperties>
</file>